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9"/>
        <w:numPr>
          <w:ilvl w:val="0"/>
          <w:numId w:val="48"/>
        </w:numPr>
      </w:pPr>
      <w:r w:rsidRPr="00F276B3">
        <w:t>Insert answers into the blank, white cells provided.</w:t>
      </w:r>
    </w:p>
    <w:p w14:paraId="4AB13ACC" w14:textId="37246AC2" w:rsidR="00E63AC5" w:rsidRDefault="00E63AC5" w:rsidP="007A24F7">
      <w:pPr>
        <w:pStyle w:val="a9"/>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1"/>
        <w:tabs>
          <w:tab w:val="right" w:leader="dot" w:pos="10456"/>
        </w:tabs>
        <w:rPr>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00000">
      <w:pPr>
        <w:pStyle w:val="11"/>
        <w:tabs>
          <w:tab w:val="right" w:leader="dot" w:pos="10456"/>
        </w:tabs>
        <w:rPr>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00000">
      <w:pPr>
        <w:pStyle w:val="25"/>
        <w:tabs>
          <w:tab w:val="right" w:leader="dot" w:pos="10456"/>
        </w:tabs>
        <w:rPr>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00000">
      <w:pPr>
        <w:pStyle w:val="25"/>
        <w:tabs>
          <w:tab w:val="right" w:leader="dot" w:pos="10456"/>
        </w:tabs>
        <w:rPr>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00000">
      <w:pPr>
        <w:pStyle w:val="25"/>
        <w:tabs>
          <w:tab w:val="right" w:leader="dot" w:pos="10456"/>
        </w:tabs>
        <w:rPr>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00000">
      <w:pPr>
        <w:pStyle w:val="11"/>
        <w:tabs>
          <w:tab w:val="right" w:leader="dot" w:pos="10456"/>
        </w:tabs>
        <w:rPr>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00000">
      <w:pPr>
        <w:pStyle w:val="25"/>
        <w:tabs>
          <w:tab w:val="right" w:leader="dot" w:pos="10456"/>
        </w:tabs>
        <w:rPr>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00000">
      <w:pPr>
        <w:pStyle w:val="25"/>
        <w:tabs>
          <w:tab w:val="right" w:leader="dot" w:pos="10456"/>
        </w:tabs>
        <w:rPr>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00000">
      <w:pPr>
        <w:pStyle w:val="25"/>
        <w:tabs>
          <w:tab w:val="right" w:leader="dot" w:pos="10456"/>
        </w:tabs>
        <w:rPr>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00000">
      <w:pPr>
        <w:pStyle w:val="25"/>
        <w:tabs>
          <w:tab w:val="right" w:leader="dot" w:pos="10456"/>
        </w:tabs>
        <w:rPr>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00000">
      <w:pPr>
        <w:pStyle w:val="25"/>
        <w:tabs>
          <w:tab w:val="right" w:leader="dot" w:pos="10456"/>
        </w:tabs>
        <w:rPr>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00000">
      <w:pPr>
        <w:pStyle w:val="25"/>
        <w:tabs>
          <w:tab w:val="right" w:leader="dot" w:pos="10456"/>
        </w:tabs>
        <w:rPr>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00000">
      <w:pPr>
        <w:pStyle w:val="11"/>
        <w:tabs>
          <w:tab w:val="right" w:leader="dot" w:pos="10456"/>
        </w:tabs>
        <w:rPr>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00000">
      <w:pPr>
        <w:pStyle w:val="25"/>
        <w:tabs>
          <w:tab w:val="right" w:leader="dot" w:pos="10456"/>
        </w:tabs>
        <w:rPr>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00000">
      <w:pPr>
        <w:pStyle w:val="25"/>
        <w:tabs>
          <w:tab w:val="right" w:leader="dot" w:pos="10456"/>
        </w:tabs>
        <w:rPr>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00000">
      <w:pPr>
        <w:pStyle w:val="25"/>
        <w:tabs>
          <w:tab w:val="right" w:leader="dot" w:pos="10456"/>
        </w:tabs>
        <w:rPr>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00000">
      <w:pPr>
        <w:pStyle w:val="25"/>
        <w:tabs>
          <w:tab w:val="right" w:leader="dot" w:pos="10456"/>
        </w:tabs>
        <w:rPr>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00000">
      <w:pPr>
        <w:pStyle w:val="25"/>
        <w:tabs>
          <w:tab w:val="right" w:leader="dot" w:pos="10456"/>
        </w:tabs>
        <w:rPr>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00000">
      <w:pPr>
        <w:pStyle w:val="25"/>
        <w:tabs>
          <w:tab w:val="right" w:leader="dot" w:pos="10456"/>
        </w:tabs>
        <w:rPr>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00000">
      <w:pPr>
        <w:pStyle w:val="25"/>
        <w:tabs>
          <w:tab w:val="right" w:leader="dot" w:pos="10456"/>
        </w:tabs>
        <w:rPr>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00000">
      <w:pPr>
        <w:pStyle w:val="25"/>
        <w:tabs>
          <w:tab w:val="right" w:leader="dot" w:pos="10456"/>
        </w:tabs>
        <w:rPr>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00000">
      <w:pPr>
        <w:pStyle w:val="25"/>
        <w:tabs>
          <w:tab w:val="right" w:leader="dot" w:pos="10456"/>
        </w:tabs>
        <w:rPr>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00000">
      <w:pPr>
        <w:pStyle w:val="11"/>
        <w:tabs>
          <w:tab w:val="right" w:leader="dot" w:pos="10456"/>
        </w:tabs>
        <w:rPr>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00000">
      <w:pPr>
        <w:pStyle w:val="25"/>
        <w:tabs>
          <w:tab w:val="right" w:leader="dot" w:pos="10456"/>
        </w:tabs>
        <w:rPr>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00000">
      <w:pPr>
        <w:pStyle w:val="25"/>
        <w:tabs>
          <w:tab w:val="right" w:leader="dot" w:pos="10456"/>
        </w:tabs>
        <w:rPr>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00000">
      <w:pPr>
        <w:pStyle w:val="25"/>
        <w:tabs>
          <w:tab w:val="right" w:leader="dot" w:pos="10456"/>
        </w:tabs>
        <w:rPr>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00000">
      <w:pPr>
        <w:pStyle w:val="25"/>
        <w:tabs>
          <w:tab w:val="right" w:leader="dot" w:pos="10456"/>
        </w:tabs>
        <w:rPr>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00000">
      <w:pPr>
        <w:pStyle w:val="31"/>
        <w:tabs>
          <w:tab w:val="right" w:leader="dot" w:pos="10456"/>
        </w:tabs>
        <w:rPr>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00000">
      <w:pPr>
        <w:pStyle w:val="31"/>
        <w:tabs>
          <w:tab w:val="right" w:leader="dot" w:pos="10456"/>
        </w:tabs>
        <w:rPr>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00000">
      <w:pPr>
        <w:pStyle w:val="31"/>
        <w:tabs>
          <w:tab w:val="right" w:leader="dot" w:pos="10456"/>
        </w:tabs>
        <w:rPr>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00000">
      <w:pPr>
        <w:pStyle w:val="31"/>
        <w:tabs>
          <w:tab w:val="right" w:leader="dot" w:pos="10456"/>
        </w:tabs>
        <w:rPr>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00000">
      <w:pPr>
        <w:pStyle w:val="11"/>
        <w:tabs>
          <w:tab w:val="right" w:leader="dot" w:pos="10456"/>
        </w:tabs>
        <w:rPr>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00000">
      <w:pPr>
        <w:pStyle w:val="25"/>
        <w:tabs>
          <w:tab w:val="right" w:leader="dot" w:pos="10456"/>
        </w:tabs>
        <w:rPr>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00000">
      <w:pPr>
        <w:pStyle w:val="25"/>
        <w:tabs>
          <w:tab w:val="right" w:leader="dot" w:pos="10456"/>
        </w:tabs>
        <w:rPr>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00000">
      <w:pPr>
        <w:pStyle w:val="31"/>
        <w:tabs>
          <w:tab w:val="right" w:leader="dot" w:pos="10456"/>
        </w:tabs>
        <w:rPr>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00000">
      <w:pPr>
        <w:pStyle w:val="31"/>
        <w:tabs>
          <w:tab w:val="right" w:leader="dot" w:pos="10456"/>
        </w:tabs>
        <w:rPr>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00000">
      <w:pPr>
        <w:pStyle w:val="31"/>
        <w:tabs>
          <w:tab w:val="right" w:leader="dot" w:pos="10456"/>
        </w:tabs>
        <w:rPr>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00000">
      <w:pPr>
        <w:pStyle w:val="25"/>
        <w:tabs>
          <w:tab w:val="right" w:leader="dot" w:pos="10456"/>
        </w:tabs>
        <w:rPr>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00000">
      <w:pPr>
        <w:pStyle w:val="11"/>
        <w:tabs>
          <w:tab w:val="right" w:leader="dot" w:pos="10456"/>
        </w:tabs>
        <w:rPr>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00000">
      <w:pPr>
        <w:pStyle w:val="25"/>
        <w:tabs>
          <w:tab w:val="right" w:leader="dot" w:pos="10456"/>
        </w:tabs>
        <w:rPr>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00000">
      <w:pPr>
        <w:pStyle w:val="25"/>
        <w:tabs>
          <w:tab w:val="right" w:leader="dot" w:pos="10456"/>
        </w:tabs>
        <w:rPr>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00000">
      <w:pPr>
        <w:pStyle w:val="25"/>
        <w:tabs>
          <w:tab w:val="right" w:leader="dot" w:pos="10456"/>
        </w:tabs>
        <w:rPr>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00000">
      <w:pPr>
        <w:pStyle w:val="25"/>
        <w:tabs>
          <w:tab w:val="right" w:leader="dot" w:pos="10456"/>
        </w:tabs>
        <w:rPr>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00000">
      <w:pPr>
        <w:pStyle w:val="31"/>
        <w:tabs>
          <w:tab w:val="right" w:leader="dot" w:pos="10456"/>
        </w:tabs>
        <w:rPr>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00000">
      <w:pPr>
        <w:pStyle w:val="31"/>
        <w:tabs>
          <w:tab w:val="right" w:leader="dot" w:pos="10456"/>
        </w:tabs>
        <w:rPr>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00000">
      <w:pPr>
        <w:pStyle w:val="31"/>
        <w:tabs>
          <w:tab w:val="right" w:leader="dot" w:pos="10456"/>
        </w:tabs>
        <w:rPr>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00000">
      <w:pPr>
        <w:pStyle w:val="25"/>
        <w:tabs>
          <w:tab w:val="right" w:leader="dot" w:pos="10456"/>
        </w:tabs>
        <w:rPr>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5"/>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01"/>
        <w:gridCol w:w="5172"/>
        <w:gridCol w:w="216"/>
        <w:gridCol w:w="216"/>
        <w:gridCol w:w="385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22CB34C" w:rsidR="00093CA9" w:rsidRDefault="00AF3905" w:rsidP="00093CA9">
            <w:pPr>
              <w:rPr>
                <w:lang w:eastAsia="ja-JP"/>
              </w:rPr>
            </w:pPr>
            <w:r w:rsidRPr="00AF3905">
              <w:t>Anderson Mori</w:t>
            </w:r>
            <w:r w:rsidR="00F27844">
              <w:rPr>
                <w:rFonts w:hint="eastAsia"/>
                <w:lang w:eastAsia="ja-JP"/>
              </w:rPr>
              <w:t xml:space="preserve"> &amp; Tomotsune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C7A8C16" w:rsidR="00093CA9" w:rsidRDefault="00AF3905" w:rsidP="00093CA9">
            <w:r>
              <w:t>Japan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0"/>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3BABFC3" w:rsidR="00093CA9" w:rsidRDefault="007F1D3A" w:rsidP="00093CA9">
            <w:r w:rsidRPr="007F1D3A">
              <w:t>Practical Guide for Scenario Analysis of Climate Change Risks and Opportunities in accordance with the TCFD Recommendations (for the Banking Sector) ver. 2.0 (TCFD</w:t>
            </w:r>
            <w:r w:rsidRPr="007F1D3A">
              <w:rPr>
                <w:rFonts w:ascii="ＭＳ ゴシック" w:eastAsia="ＭＳ ゴシック" w:hAnsi="ＭＳ ゴシック" w:cs="ＭＳ ゴシック" w:hint="eastAsia"/>
              </w:rPr>
              <w:t>提言に沿った気候変動リスク・機会のシナリオ分析実践ガイド（銀行セクター向け）</w:t>
            </w:r>
            <w:r w:rsidRPr="007F1D3A">
              <w:t>ver.2.0)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B60C775" w:rsidR="00093CA9" w:rsidRDefault="00000000" w:rsidP="00093CA9">
            <w:hyperlink r:id="rId17" w:history="1">
              <w:r w:rsidR="00C950CB" w:rsidRPr="00314022">
                <w:rPr>
                  <w:rStyle w:val="ab"/>
                </w:rPr>
                <w:t>https://web.archive.org/web/20221014100354/https://www.env.go.jp/content/900518880.pdf</w:t>
              </w:r>
            </w:hyperlink>
            <w:r w:rsidR="00C950CB">
              <w:rPr>
                <w:rFonts w:hint="eastAsia"/>
                <w:lang w:eastAsia="ja-JP"/>
              </w:rP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9183C4D"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B5D65D4" w:rsidR="00093CA9" w:rsidRDefault="003E5564"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5E10FBE"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60B8EEC" w14:textId="77777777" w:rsidR="00093CA9" w:rsidRDefault="00D8704B" w:rsidP="00093CA9">
            <w:r w:rsidRPr="00D8704B">
              <w:t>The Ministry of the Environment conducted a pilot project from September 2021 to March 2022, with the participation of three regional financial institutions</w:t>
            </w:r>
            <w:r>
              <w:rPr>
                <w:rFonts w:hint="eastAsia"/>
                <w:lang w:eastAsia="ja-JP"/>
              </w:rPr>
              <w:t xml:space="preserve"> in Japan</w:t>
            </w:r>
            <w:r w:rsidRPr="00D8704B">
              <w:t>, to analyse their own climate-related risks and opportunities. The project focused on developing methodologies for “scenario analysis,” which is central to this effort.</w:t>
            </w:r>
          </w:p>
          <w:p w14:paraId="6287D10E" w14:textId="77777777" w:rsidR="00C36394" w:rsidRDefault="00D8704B" w:rsidP="00C36394">
            <w:r w:rsidRPr="00D8704B">
              <w:t>This guide focuses on the risks associated with the transition to a decarbonized economy and the quantification and evaluation of physical risks caused by climate change in financial institutions</w:t>
            </w:r>
            <w:r>
              <w:rPr>
                <w:rFonts w:hint="eastAsia"/>
                <w:lang w:eastAsia="ja-JP"/>
              </w:rPr>
              <w:t>, especially for a banking sector</w:t>
            </w:r>
            <w:r w:rsidRPr="00D8704B">
              <w:t xml:space="preserve">. It employs evaluation methods that ensure reliability sufficient for information disclosure, and based on the results of financial impact assessments conducted through collaboration across multiple departments, including risk management, this guide </w:t>
            </w:r>
            <w:r>
              <w:rPr>
                <w:rFonts w:hint="eastAsia"/>
                <w:lang w:eastAsia="ja-JP"/>
              </w:rPr>
              <w:t xml:space="preserve">was published </w:t>
            </w:r>
            <w:r w:rsidRPr="00D8704B">
              <w:t>as a reference document</w:t>
            </w:r>
            <w:r>
              <w:rPr>
                <w:rFonts w:hint="eastAsia"/>
                <w:lang w:eastAsia="ja-JP"/>
              </w:rPr>
              <w:t xml:space="preserve"> in March 2022</w:t>
            </w:r>
            <w:r w:rsidRPr="00D8704B">
              <w:t>.</w:t>
            </w:r>
          </w:p>
          <w:p w14:paraId="18257824" w14:textId="2A7138F8" w:rsidR="00C36394" w:rsidRDefault="00C36394" w:rsidP="00C36394">
            <w:pPr>
              <w:rPr>
                <w:lang w:eastAsia="ja-JP"/>
              </w:rPr>
            </w:pPr>
            <w:r>
              <w:rPr>
                <w:rFonts w:hint="eastAsia"/>
                <w:lang w:eastAsia="ja-JP"/>
              </w:rPr>
              <w:t xml:space="preserve">For your note, although the Financial Services Agency is the primal financial regulator, the Ministry of the Environment is also involved in the proliferation of environmental finance.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9581B97" w:rsidR="00093CA9" w:rsidRDefault="00F72C4F" w:rsidP="00093CA9">
            <w:r>
              <w:rPr>
                <w:rFonts w:hint="eastAsia"/>
                <w:lang w:eastAsia="ja-JP"/>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7EB266F" w:rsidR="00093CA9" w:rsidRDefault="00F72C4F" w:rsidP="00093CA9">
            <w:pPr>
              <w:rPr>
                <w:lang w:eastAsia="ja-JP"/>
              </w:rPr>
            </w:pPr>
            <w:r>
              <w:rPr>
                <w:rFonts w:hint="eastAsia"/>
                <w:lang w:eastAsia="ja-JP"/>
              </w:rPr>
              <w:t xml:space="preserve">This guide was initially published as a non-binding guide in </w:t>
            </w:r>
            <w:r>
              <w:rPr>
                <w:lang w:eastAsia="ja-JP"/>
              </w:rPr>
              <w:t>2020 and</w:t>
            </w:r>
            <w:r>
              <w:rPr>
                <w:rFonts w:hint="eastAsia"/>
                <w:lang w:eastAsia="ja-JP"/>
              </w:rPr>
              <w:t xml:space="preserve"> updated in 2022.</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2578682" w:rsidR="00093CA9" w:rsidRPr="00173D7C" w:rsidRDefault="00F72C4F" w:rsidP="00093CA9">
            <w:pPr>
              <w:rPr>
                <w:color w:val="000000" w:themeColor="text1"/>
                <w:lang w:eastAsia="ja-JP"/>
              </w:rPr>
            </w:pPr>
            <w:r>
              <w:rPr>
                <w:rFonts w:hint="eastAsia"/>
                <w:color w:val="000000" w:themeColor="text1"/>
                <w:lang w:eastAsia="ja-JP"/>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F4B0E51" w:rsidR="00093CA9" w:rsidRPr="00173D7C" w:rsidRDefault="00F72C4F" w:rsidP="00093CA9">
            <w:pPr>
              <w:rPr>
                <w:color w:val="000000" w:themeColor="text1"/>
                <w:lang w:eastAsia="ja-JP"/>
              </w:rPr>
            </w:pPr>
            <w:r>
              <w:rPr>
                <w:rFonts w:hint="eastAsia"/>
                <w:color w:val="000000" w:themeColor="text1"/>
                <w:lang w:eastAsia="ja-JP"/>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56386CE1" w:rsidR="00093CA9" w:rsidRPr="00587FAE" w:rsidRDefault="00F72C4F" w:rsidP="00093CA9">
            <w:pPr>
              <w:rPr>
                <w:color w:val="000000" w:themeColor="text1"/>
              </w:rPr>
            </w:pPr>
            <w:r w:rsidRPr="00F72C4F">
              <w:rPr>
                <w:color w:val="000000" w:themeColor="text1"/>
              </w:rPr>
              <w:t>This guide was initially published as a non-binding guide in 2020 and updated in 2022.</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CB42DE7" w:rsidR="00093CA9" w:rsidRDefault="00F72C4F" w:rsidP="00093CA9">
            <w:pPr>
              <w:rPr>
                <w:lang w:eastAsia="ja-JP"/>
              </w:rPr>
            </w:pPr>
            <w:r>
              <w:rPr>
                <w:rFonts w:hint="eastAsia"/>
                <w:lang w:eastAsia="ja-JP"/>
              </w:rPr>
              <w:t>Ministry of the Environment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AC41D93" w:rsidR="00093CA9" w:rsidRPr="006B7B0D" w:rsidRDefault="00F72C4F" w:rsidP="00093CA9">
            <w:r w:rsidRPr="00F72C4F">
              <w:t>Ministry of the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0AF57F5" w:rsidR="00093CA9" w:rsidRPr="006B7B0D" w:rsidRDefault="00F72C4F" w:rsidP="00093CA9">
            <w:pPr>
              <w:rPr>
                <w:lang w:eastAsia="ja-JP"/>
              </w:rPr>
            </w:pPr>
            <w:r>
              <w:rPr>
                <w:rFonts w:hint="eastAsia"/>
                <w:lang w:eastAsia="ja-JP"/>
              </w:rP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C70F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lastRenderedPageBreak/>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lastRenderedPageBreak/>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C70F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lastRenderedPageBreak/>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C70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r w:rsidR="002E5ACB">
        <w:t>Life</w:t>
      </w:r>
      <w:r w:rsidR="00DF4489">
        <w:t>-cycle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lastRenderedPageBreak/>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lastRenderedPageBreak/>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C70F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lastRenderedPageBreak/>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4A7D4565" w:rsidR="00D4323A" w:rsidRPr="00CF2E7C" w:rsidRDefault="00D8704B" w:rsidP="00CF2E7C">
            <w:pPr>
              <w:rPr>
                <w:rFonts w:ascii="Calibri" w:hAnsi="Calibri" w:cs="Calibri"/>
              </w:rPr>
            </w:pPr>
            <w:r>
              <w:rPr>
                <w:rFonts w:ascii="Calibri" w:hAnsi="Calibri" w:cs="Calibri" w:hint="eastAsia"/>
                <w:lang w:eastAsia="ja-JP"/>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2814660B" w:rsidR="00D4323A" w:rsidRPr="00CF2E7C" w:rsidRDefault="00D8704B" w:rsidP="00CF2E7C">
            <w:pPr>
              <w:rPr>
                <w:rFonts w:ascii="Calibri" w:hAnsi="Calibri" w:cs="Calibri"/>
              </w:rPr>
            </w:pPr>
            <w:r>
              <w:rPr>
                <w:rFonts w:ascii="Calibri" w:hAnsi="Calibri" w:cs="Calibri" w:hint="eastAsia"/>
                <w:lang w:eastAsia="ja-JP"/>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4F008ABF" w:rsidR="00D4323A" w:rsidRPr="00CF2E7C" w:rsidRDefault="00D4323A" w:rsidP="00CF2E7C">
            <w:pPr>
              <w:rPr>
                <w:rFonts w:ascii="Calibri" w:hAnsi="Calibri" w:cs="Calibri"/>
                <w:lang w:eastAsia="ja-JP"/>
              </w:rPr>
            </w:pPr>
          </w:p>
        </w:tc>
        <w:tc>
          <w:tcPr>
            <w:tcW w:w="1455" w:type="dxa"/>
            <w:gridSpan w:val="2"/>
            <w:vAlign w:val="center"/>
          </w:tcPr>
          <w:p w14:paraId="768ED678" w14:textId="7CBF3927" w:rsidR="00D4323A" w:rsidRPr="00CF2E7C" w:rsidRDefault="00D8704B" w:rsidP="00CF2E7C">
            <w:pPr>
              <w:rPr>
                <w:rFonts w:ascii="Calibri" w:hAnsi="Calibri" w:cs="Calibri"/>
                <w:lang w:eastAsia="ja-JP"/>
              </w:rPr>
            </w:pPr>
            <w:r>
              <w:rPr>
                <w:rFonts w:ascii="Calibri" w:hAnsi="Calibri" w:cs="Calibri" w:hint="eastAsia"/>
                <w:lang w:eastAsia="ja-JP"/>
              </w:rPr>
              <w:t>X</w:t>
            </w:r>
          </w:p>
        </w:tc>
        <w:tc>
          <w:tcPr>
            <w:tcW w:w="1505" w:type="dxa"/>
            <w:vAlign w:val="center"/>
          </w:tcPr>
          <w:p w14:paraId="60C6C14A" w14:textId="10CF7AD5"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4AA6497D" w:rsidR="00D4323A" w:rsidRPr="00CF2E7C" w:rsidRDefault="00D8704B" w:rsidP="00CF2E7C">
            <w:pPr>
              <w:rPr>
                <w:rFonts w:ascii="Calibri" w:hAnsi="Calibri" w:cs="Calibri"/>
                <w:lang w:eastAsia="ja-JP"/>
              </w:rPr>
            </w:pPr>
            <w:r>
              <w:rPr>
                <w:rFonts w:ascii="Calibri" w:hAnsi="Calibri" w:cs="Calibri" w:hint="eastAsia"/>
                <w:lang w:eastAsia="ja-JP"/>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685E1095" w:rsidR="00D4323A" w:rsidRPr="00CF2E7C" w:rsidRDefault="00D8704B" w:rsidP="00CF2E7C">
            <w:pPr>
              <w:rPr>
                <w:rFonts w:ascii="Calibri" w:hAnsi="Calibri" w:cs="Calibri"/>
                <w:lang w:eastAsia="ja-JP"/>
              </w:rPr>
            </w:pPr>
            <w:r>
              <w:rPr>
                <w:rFonts w:ascii="Calibri" w:hAnsi="Calibri" w:cs="Calibri" w:hint="eastAsia"/>
                <w:lang w:eastAsia="ja-JP"/>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5DD154B1" w:rsidR="00D4323A" w:rsidRPr="00CF2E7C" w:rsidRDefault="00D8704B" w:rsidP="00CF2E7C">
            <w:pPr>
              <w:rPr>
                <w:rFonts w:ascii="Calibri" w:hAnsi="Calibri" w:cs="Calibri"/>
                <w:lang w:eastAsia="ja-JP"/>
              </w:rPr>
            </w:pPr>
            <w:r>
              <w:rPr>
                <w:rFonts w:ascii="Calibri" w:hAnsi="Calibri" w:cs="Calibri" w:hint="eastAsia"/>
                <w:lang w:eastAsia="ja-JP"/>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42AAF659" w:rsidR="00D4323A" w:rsidRPr="00CF2E7C" w:rsidRDefault="00D8704B" w:rsidP="00CF2E7C">
            <w:pPr>
              <w:rPr>
                <w:rFonts w:ascii="Calibri" w:hAnsi="Calibri" w:cs="Calibri"/>
                <w:lang w:eastAsia="ja-JP"/>
              </w:rPr>
            </w:pPr>
            <w:r>
              <w:rPr>
                <w:rFonts w:ascii="Calibri" w:hAnsi="Calibri" w:cs="Calibri" w:hint="eastAsia"/>
                <w:lang w:eastAsia="ja-JP"/>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33B98B53" w:rsidR="00D4323A" w:rsidRPr="00CF2E7C" w:rsidRDefault="00D8704B" w:rsidP="00CF2E7C">
            <w:pPr>
              <w:rPr>
                <w:rFonts w:ascii="Calibri" w:hAnsi="Calibri" w:cs="Calibri"/>
                <w:lang w:eastAsia="ja-JP"/>
              </w:rPr>
            </w:pPr>
            <w:r>
              <w:rPr>
                <w:rFonts w:ascii="Calibri" w:hAnsi="Calibri" w:cs="Calibri" w:hint="eastAsia"/>
                <w:lang w:eastAsia="ja-JP"/>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022C491" w:rsidR="00D4323A" w:rsidRPr="00CF2E7C" w:rsidRDefault="00D8704B" w:rsidP="00CF2E7C">
            <w:pPr>
              <w:rPr>
                <w:rFonts w:ascii="Calibri" w:hAnsi="Calibri" w:cs="Calibri"/>
                <w:lang w:eastAsia="ja-JP"/>
              </w:rPr>
            </w:pPr>
            <w:r>
              <w:rPr>
                <w:rFonts w:ascii="Calibri" w:hAnsi="Calibri" w:cs="Calibri" w:hint="eastAsia"/>
                <w:lang w:eastAsia="ja-JP"/>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00DBF194" w:rsidR="00D4323A" w:rsidRPr="00CF2E7C" w:rsidRDefault="00D8704B" w:rsidP="00CF2E7C">
            <w:pPr>
              <w:rPr>
                <w:rFonts w:ascii="Calibri" w:hAnsi="Calibri" w:cs="Calibri"/>
                <w:lang w:eastAsia="ja-JP"/>
              </w:rPr>
            </w:pPr>
            <w:r>
              <w:rPr>
                <w:rFonts w:ascii="Calibri" w:hAnsi="Calibri" w:cs="Calibri" w:hint="eastAsia"/>
                <w:lang w:eastAsia="ja-JP"/>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018D6AB1" w:rsidR="00D4323A" w:rsidRPr="00CF2E7C" w:rsidRDefault="00D8704B" w:rsidP="00CF2E7C">
            <w:pPr>
              <w:rPr>
                <w:rFonts w:ascii="Calibri" w:hAnsi="Calibri" w:cs="Calibri"/>
                <w:lang w:eastAsia="ja-JP"/>
              </w:rPr>
            </w:pPr>
            <w:r>
              <w:rPr>
                <w:rFonts w:ascii="Calibri" w:hAnsi="Calibri" w:cs="Calibri" w:hint="eastAsia"/>
                <w:lang w:eastAsia="ja-JP"/>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2942B107" w:rsidR="00D4323A" w:rsidRPr="00CF2E7C" w:rsidRDefault="00D8704B" w:rsidP="00CF2E7C">
            <w:pPr>
              <w:rPr>
                <w:rFonts w:ascii="Calibri" w:hAnsi="Calibri" w:cs="Calibri"/>
                <w:lang w:eastAsia="ja-JP"/>
              </w:rPr>
            </w:pPr>
            <w:r>
              <w:rPr>
                <w:rFonts w:ascii="Calibri" w:hAnsi="Calibri" w:cs="Calibri" w:hint="eastAsia"/>
                <w:lang w:eastAsia="ja-JP"/>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E8E2C84" w:rsidR="00D4323A" w:rsidRPr="00CF2E7C" w:rsidRDefault="00D8704B" w:rsidP="00CF2E7C">
            <w:pPr>
              <w:rPr>
                <w:rFonts w:ascii="Calibri" w:hAnsi="Calibri" w:cs="Calibri"/>
                <w:lang w:eastAsia="ja-JP"/>
              </w:rPr>
            </w:pPr>
            <w:r>
              <w:rPr>
                <w:rFonts w:ascii="Calibri" w:hAnsi="Calibri" w:cs="Calibri" w:hint="eastAsia"/>
                <w:lang w:eastAsia="ja-JP"/>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62D7ABB5" w:rsidR="00DD292A" w:rsidRPr="00CF2E7C" w:rsidRDefault="00DD292A" w:rsidP="00CF2E7C">
            <w:pPr>
              <w:rPr>
                <w:rFonts w:ascii="Calibri" w:hAnsi="Calibri" w:cs="Calibri"/>
                <w:lang w:eastAsia="ja-JP"/>
              </w:rPr>
            </w:pPr>
          </w:p>
        </w:tc>
        <w:tc>
          <w:tcPr>
            <w:tcW w:w="1455" w:type="dxa"/>
            <w:gridSpan w:val="2"/>
            <w:vAlign w:val="center"/>
          </w:tcPr>
          <w:p w14:paraId="135AE0CB" w14:textId="06E3354B" w:rsidR="00DD292A" w:rsidRPr="00CF2E7C" w:rsidRDefault="00D8704B" w:rsidP="00CF2E7C">
            <w:pPr>
              <w:rPr>
                <w:rFonts w:ascii="Calibri" w:hAnsi="Calibri" w:cs="Calibri"/>
                <w:lang w:eastAsia="ja-JP"/>
              </w:rPr>
            </w:pPr>
            <w:r>
              <w:rPr>
                <w:rFonts w:ascii="Calibri" w:hAnsi="Calibri" w:cs="Calibri" w:hint="eastAsia"/>
                <w:lang w:eastAsia="ja-JP"/>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55803F5C" w:rsidR="00DD292A" w:rsidRPr="00CF2E7C" w:rsidRDefault="00D8704B" w:rsidP="00CF2E7C">
            <w:pPr>
              <w:rPr>
                <w:rFonts w:ascii="Calibri" w:hAnsi="Calibri" w:cs="Calibri"/>
                <w:lang w:eastAsia="ja-JP"/>
              </w:rPr>
            </w:pPr>
            <w:r>
              <w:rPr>
                <w:rFonts w:ascii="Calibri" w:hAnsi="Calibri" w:cs="Calibri" w:hint="eastAsia"/>
                <w:lang w:eastAsia="ja-JP"/>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340B8058" w:rsidR="00DD292A" w:rsidRPr="00CF2E7C" w:rsidRDefault="00D8704B" w:rsidP="00CF2E7C">
            <w:pPr>
              <w:rPr>
                <w:rFonts w:ascii="Calibri" w:hAnsi="Calibri" w:cs="Calibri"/>
                <w:lang w:eastAsia="ja-JP"/>
              </w:rPr>
            </w:pPr>
            <w:r>
              <w:rPr>
                <w:rFonts w:ascii="Calibri" w:hAnsi="Calibri" w:cs="Calibri" w:hint="eastAsia"/>
                <w:lang w:eastAsia="ja-JP"/>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3847743B" w:rsidR="00DD292A" w:rsidRPr="00CF2E7C" w:rsidRDefault="00D8704B" w:rsidP="00CF2E7C">
            <w:pPr>
              <w:rPr>
                <w:rFonts w:ascii="Calibri" w:hAnsi="Calibri" w:cs="Calibri"/>
                <w:lang w:eastAsia="ja-JP"/>
              </w:rPr>
            </w:pPr>
            <w:r>
              <w:rPr>
                <w:rFonts w:ascii="Calibri" w:hAnsi="Calibri" w:cs="Calibri" w:hint="eastAsia"/>
                <w:lang w:eastAsia="ja-JP"/>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2842C11E" w:rsidR="00DD292A" w:rsidRPr="00CF2E7C" w:rsidRDefault="00D8704B" w:rsidP="00CF2E7C">
            <w:pPr>
              <w:rPr>
                <w:rFonts w:ascii="Calibri" w:hAnsi="Calibri" w:cs="Calibri"/>
                <w:lang w:eastAsia="ja-JP"/>
              </w:rPr>
            </w:pPr>
            <w:r>
              <w:rPr>
                <w:rFonts w:ascii="Calibri" w:hAnsi="Calibri" w:cs="Calibri" w:hint="eastAsia"/>
                <w:lang w:eastAsia="ja-JP"/>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23F772E4" w:rsidR="00DD292A" w:rsidRPr="00CF2E7C" w:rsidRDefault="00D8704B" w:rsidP="00CF2E7C">
            <w:pPr>
              <w:rPr>
                <w:rFonts w:ascii="Calibri" w:hAnsi="Calibri" w:cs="Calibri"/>
                <w:lang w:eastAsia="ja-JP"/>
              </w:rPr>
            </w:pPr>
            <w:r>
              <w:rPr>
                <w:rFonts w:ascii="Calibri" w:hAnsi="Calibri" w:cs="Calibri" w:hint="eastAsia"/>
                <w:lang w:eastAsia="ja-JP"/>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0831F32"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8FC414A"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5E18BAF7"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0300A7A4"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13746B04"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4E0527F3"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6E6B2D62"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607F20C7"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5CCD1268"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404C2757"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09B3C944" w:rsidR="00DD292A" w:rsidRPr="00CF2E7C" w:rsidRDefault="005E3B69" w:rsidP="00CF2E7C">
            <w:pPr>
              <w:rPr>
                <w:rFonts w:ascii="Calibri" w:hAnsi="Calibri" w:cs="Calibri"/>
              </w:rPr>
            </w:pPr>
            <w:r>
              <w:rPr>
                <w:rFonts w:ascii="Calibri" w:hAnsi="Calibri" w:cs="Calibri" w:hint="eastAsia"/>
                <w:lang w:eastAsia="ja-JP"/>
              </w:rPr>
              <w:t>X</w:t>
            </w: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87EA5B7"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40DE9390"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2F534A9E"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6649E4CE"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0AED694"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1121A0D4"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35C02F79"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3D29599"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3265696B"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4025D131"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6C3E56AA" w:rsidR="00DD292A" w:rsidRPr="00CF2E7C" w:rsidRDefault="005E3B69" w:rsidP="00CF2E7C">
            <w:pPr>
              <w:rPr>
                <w:rFonts w:ascii="Calibri" w:hAnsi="Calibri" w:cs="Calibri"/>
              </w:rPr>
            </w:pPr>
            <w:r>
              <w:rPr>
                <w:rFonts w:ascii="Calibri" w:hAnsi="Calibri" w:cs="Calibri" w:hint="eastAsia"/>
                <w:lang w:eastAsia="ja-JP"/>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6E898CC0" w:rsidR="00DD292A" w:rsidRPr="00CF2E7C" w:rsidRDefault="005E3B69" w:rsidP="00CF2E7C">
            <w:pPr>
              <w:rPr>
                <w:rFonts w:ascii="Calibri" w:hAnsi="Calibri" w:cs="Calibri"/>
              </w:rPr>
            </w:pPr>
            <w:r w:rsidRPr="005E3B69">
              <w:rPr>
                <w:rFonts w:ascii="Calibri" w:hAnsi="Calibri" w:cs="Calibri"/>
              </w:rPr>
              <w:t>This guide explains, specifically for financial institutions, the</w:t>
            </w:r>
            <w:r>
              <w:rPr>
                <w:rFonts w:ascii="Calibri" w:hAnsi="Calibri" w:cs="Calibri" w:hint="eastAsia"/>
                <w:lang w:eastAsia="ja-JP"/>
              </w:rPr>
              <w:t xml:space="preserve"> particular issues</w:t>
            </w:r>
            <w:r w:rsidRPr="005E3B69">
              <w:rPr>
                <w:rFonts w:ascii="Calibri" w:hAnsi="Calibri" w:cs="Calibri"/>
              </w:rPr>
              <w:t xml:space="preserve"> they face regarding how transition risks and physical risks related to their credit counterparties' sectors can have a financial impact on the institutions themselves.</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C70F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61BB8137" w:rsidR="00DD292A" w:rsidRPr="00CF2E7C" w:rsidRDefault="00DA254B" w:rsidP="00CF2E7C">
            <w:pPr>
              <w:rPr>
                <w:rFonts w:ascii="Calibri" w:hAnsi="Calibri" w:cs="Calibri"/>
                <w:lang w:eastAsia="ja-JP"/>
              </w:rPr>
            </w:pPr>
            <w:r>
              <w:rPr>
                <w:rFonts w:ascii="Calibri" w:hAnsi="Calibri" w:cs="Calibri" w:hint="eastAsia"/>
                <w:lang w:eastAsia="ja-JP"/>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519E6117" w:rsidR="00DD292A" w:rsidRPr="00CF2E7C" w:rsidRDefault="00AC42FC" w:rsidP="00CF2E7C">
            <w:pPr>
              <w:rPr>
                <w:rFonts w:ascii="Calibri" w:hAnsi="Calibri" w:cs="Calibri"/>
                <w:lang w:eastAsia="ja-JP"/>
              </w:rPr>
            </w:pPr>
            <w:r w:rsidRPr="00AC42FC">
              <w:rPr>
                <w:rFonts w:ascii="Calibri" w:hAnsi="Calibri" w:cs="Calibri"/>
              </w:rPr>
              <w:t>This guide is an explanatory document for financial institutions issued by the authorit</w:t>
            </w:r>
            <w:r w:rsidR="00EA340F">
              <w:rPr>
                <w:rFonts w:ascii="Calibri" w:hAnsi="Calibri" w:cs="Calibri" w:hint="eastAsia"/>
                <w:lang w:eastAsia="ja-JP"/>
              </w:rPr>
              <w:t>y</w:t>
            </w:r>
            <w:r w:rsidRPr="00AC42FC">
              <w:rPr>
                <w:rFonts w:ascii="Calibri" w:hAnsi="Calibri" w:cs="Calibri"/>
              </w:rPr>
              <w:t>, and examples of initiatives taken by financial institutions based on this guide have not been publishe</w:t>
            </w:r>
            <w:r w:rsidR="00EA340F">
              <w:rPr>
                <w:rFonts w:ascii="Calibri" w:hAnsi="Calibri" w:cs="Calibri" w:hint="eastAsia"/>
                <w:lang w:eastAsia="ja-JP"/>
              </w:rPr>
              <w:t>d from the autho</w:t>
            </w:r>
            <w:r w:rsidR="0038650B">
              <w:rPr>
                <w:rFonts w:ascii="Calibri" w:hAnsi="Calibri" w:cs="Calibri" w:hint="eastAsia"/>
                <w:lang w:eastAsia="ja-JP"/>
              </w:rPr>
              <w:t>rity.</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159041A" w:rsidR="00DD292A" w:rsidRPr="00CF2E7C" w:rsidRDefault="00DA254B" w:rsidP="00CF2E7C">
            <w:pPr>
              <w:rPr>
                <w:rFonts w:ascii="Calibri" w:hAnsi="Calibri" w:cs="Calibri"/>
                <w:lang w:eastAsia="ja-JP"/>
              </w:rPr>
            </w:pPr>
            <w:r>
              <w:rPr>
                <w:rFonts w:ascii="Calibri" w:hAnsi="Calibri" w:cs="Calibri" w:hint="eastAsia"/>
                <w:lang w:eastAsia="ja-JP"/>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EFF5393" w:rsidR="00DD292A" w:rsidRPr="00CF2E7C" w:rsidRDefault="00DA254B" w:rsidP="00CF2E7C">
            <w:pPr>
              <w:rPr>
                <w:rFonts w:ascii="Calibri" w:hAnsi="Calibri" w:cs="Calibri"/>
                <w:lang w:eastAsia="ja-JP"/>
              </w:rPr>
            </w:pPr>
            <w:r>
              <w:rPr>
                <w:rFonts w:ascii="Calibri" w:hAnsi="Calibri" w:cs="Calibri" w:hint="eastAsia"/>
                <w:lang w:eastAsia="ja-JP"/>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315B6D5A" w:rsidR="00DD292A" w:rsidRPr="00CF2E7C" w:rsidRDefault="005E3B69" w:rsidP="00CF2E7C">
            <w:pPr>
              <w:rPr>
                <w:rFonts w:ascii="Calibri" w:hAnsi="Calibri" w:cs="Calibri"/>
              </w:rPr>
            </w:pPr>
            <w:r w:rsidRPr="005E3B69">
              <w:rPr>
                <w:rFonts w:ascii="Calibri" w:hAnsi="Calibri" w:cs="Calibri"/>
              </w:rPr>
              <w:t xml:space="preserve">This guide is based on voluntary rules and therefore </w:t>
            </w:r>
            <w:r w:rsidR="00AC42FC">
              <w:rPr>
                <w:rFonts w:ascii="Calibri" w:hAnsi="Calibri" w:cs="Calibri" w:hint="eastAsia"/>
                <w:lang w:eastAsia="ja-JP"/>
              </w:rPr>
              <w:t xml:space="preserve">will not </w:t>
            </w:r>
            <w:r w:rsidRPr="005E3B69">
              <w:rPr>
                <w:rFonts w:ascii="Calibri" w:hAnsi="Calibri" w:cs="Calibri"/>
              </w:rPr>
              <w:t>serve as grounds for legal claims in litigation.</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2436319B" w:rsidR="00410853" w:rsidRPr="00DA254B" w:rsidRDefault="00DA254B"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2FA50532" w:rsidR="00F632FB" w:rsidRPr="005647DD" w:rsidRDefault="005647DD"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4E19BCE2" w:rsidR="00F632FB" w:rsidRPr="00DA254B" w:rsidRDefault="00DA254B"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C6FFF12" w:rsidR="008C4722" w:rsidRPr="00DA254B" w:rsidRDefault="00DA254B"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7F992EA0" w:rsidR="008C4722" w:rsidRPr="00DA254B" w:rsidRDefault="00DA254B"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C9F5626" w:rsidR="008C4722" w:rsidRPr="00DA254B" w:rsidRDefault="00DA254B"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Section</w:t>
            </w:r>
            <w:r w:rsidR="00AC42FC">
              <w:rPr>
                <w:rFonts w:ascii="Calibri" w:hAnsi="Calibri" w:cs="Calibri" w:hint="eastAsia"/>
                <w:kern w:val="0"/>
                <w:lang w:eastAsia="ja-JP"/>
                <w14:ligatures w14:val="none"/>
              </w:rPr>
              <w:t>s</w:t>
            </w:r>
            <w:r>
              <w:rPr>
                <w:rFonts w:ascii="Calibri" w:hAnsi="Calibri" w:cs="Calibri" w:hint="eastAsia"/>
                <w:kern w:val="0"/>
                <w:lang w:eastAsia="ja-JP"/>
                <w14:ligatures w14:val="none"/>
              </w:rPr>
              <w:t xml:space="preserve"> 2-5 and 2-6 of this guide explain the method for quantitatively evaluating climate transition risk and climate physical risk.</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5931DA0F" w:rsidR="008C4722" w:rsidRPr="00CB6C20" w:rsidRDefault="00CB6C20"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68876702" w:rsidR="007B7DEE" w:rsidRPr="00CB6C20" w:rsidRDefault="00CB6C20"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2D87B7B5" w:rsidR="00ED7E12" w:rsidRPr="00CB6C20" w:rsidRDefault="00CB6C20"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602FA248" w:rsidR="00702413" w:rsidRPr="00CB6C20"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281458F2" w:rsidR="00655FF7" w:rsidRPr="005647DD" w:rsidRDefault="005647DD"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8C51B5D" w:rsidR="003032A9" w:rsidRPr="005647DD" w:rsidRDefault="005647DD"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6E6BD20A" w:rsidR="009818E7" w:rsidRPr="00CF2E7C" w:rsidRDefault="00AC42FC" w:rsidP="00CF2E7C">
            <w:pPr>
              <w:textAlignment w:val="baseline"/>
              <w:rPr>
                <w:rFonts w:ascii="Calibri" w:eastAsia="Times New Roman" w:hAnsi="Calibri" w:cs="Calibri"/>
                <w:kern w:val="0"/>
                <w:lang w:eastAsia="en-GB"/>
                <w14:ligatures w14:val="none"/>
              </w:rPr>
            </w:pPr>
            <w:r w:rsidRPr="00AC42FC">
              <w:rPr>
                <w:rFonts w:ascii="Calibri" w:eastAsia="Times New Roman" w:hAnsi="Calibri" w:cs="Calibri"/>
                <w:kern w:val="0"/>
                <w:lang w:eastAsia="en-GB"/>
                <w14:ligatures w14:val="none"/>
              </w:rPr>
              <w:t>This guide is intended for all financial institutions, including</w:t>
            </w:r>
            <w:r>
              <w:rPr>
                <w:rFonts w:ascii="Calibri" w:hAnsi="Calibri" w:cs="Calibri" w:hint="eastAsia"/>
                <w:kern w:val="0"/>
                <w:lang w:eastAsia="ja-JP"/>
                <w14:ligatures w14:val="none"/>
              </w:rPr>
              <w:t xml:space="preserve"> local </w:t>
            </w:r>
            <w:r w:rsidRPr="00AC42FC">
              <w:rPr>
                <w:rFonts w:ascii="Calibri" w:eastAsia="Times New Roman" w:hAnsi="Calibri" w:cs="Calibri"/>
                <w:kern w:val="0"/>
                <w:lang w:eastAsia="en-GB"/>
                <w14:ligatures w14:val="none"/>
              </w:rPr>
              <w:t>banks.</w:t>
            </w: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6306073F" w:rsidR="003D5104" w:rsidRPr="007E3E90" w:rsidRDefault="007E3E90"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67627AB8" w:rsidR="003D5104" w:rsidRPr="00CF2E7C" w:rsidRDefault="007E3E90" w:rsidP="00CF2E7C">
            <w:pPr>
              <w:textAlignment w:val="baseline"/>
              <w:rPr>
                <w:rFonts w:ascii="Calibri" w:eastAsia="Times New Roman" w:hAnsi="Calibri" w:cs="Calibri"/>
                <w:kern w:val="0"/>
                <w:lang w:eastAsia="en-GB"/>
                <w14:ligatures w14:val="none"/>
              </w:rPr>
            </w:pPr>
            <w:r w:rsidRPr="007E3E90">
              <w:rPr>
                <w:rFonts w:ascii="Calibri" w:eastAsia="Times New Roman" w:hAnsi="Calibri" w:cs="Calibri"/>
                <w:kern w:val="0"/>
                <w:lang w:eastAsia="en-GB"/>
                <w14:ligatures w14:val="none"/>
              </w:rPr>
              <w:t>In this guide, the IEA's WEO (World Energy Outlook) 4, SSP (Shared Socioeconomic Pathways) 5, PRI's IPR (Inevitable Policy Response) 6</w:t>
            </w:r>
            <w:r>
              <w:rPr>
                <w:rFonts w:ascii="ＭＳ 明朝" w:eastAsia="ＭＳ 明朝" w:hAnsi="ＭＳ 明朝" w:cs="ＭＳ 明朝" w:hint="eastAsia"/>
                <w:kern w:val="0"/>
                <w:lang w:eastAsia="ja-JP"/>
                <w14:ligatures w14:val="none"/>
              </w:rPr>
              <w:t xml:space="preserve"> </w:t>
            </w:r>
            <w:r w:rsidRPr="007E3E90">
              <w:rPr>
                <w:rFonts w:ascii="Calibri" w:eastAsia="Times New Roman" w:hAnsi="Calibri" w:cs="Calibri"/>
                <w:kern w:val="0"/>
                <w:lang w:eastAsia="en-GB"/>
                <w14:ligatures w14:val="none"/>
              </w:rPr>
              <w:t xml:space="preserve">are </w:t>
            </w:r>
            <w:r>
              <w:rPr>
                <w:rFonts w:ascii="Calibri" w:hAnsi="Calibri" w:cs="Calibri" w:hint="eastAsia"/>
                <w:kern w:val="0"/>
                <w:lang w:eastAsia="ja-JP"/>
                <w14:ligatures w14:val="none"/>
              </w:rPr>
              <w:t>referred</w:t>
            </w:r>
            <w:r w:rsidRPr="007E3E90">
              <w:rPr>
                <w:rFonts w:ascii="Calibri" w:eastAsia="Times New Roman" w:hAnsi="Calibri" w:cs="Calibri"/>
                <w:kern w:val="0"/>
                <w:lang w:eastAsia="en-GB"/>
                <w14:ligatures w14:val="none"/>
              </w:rPr>
              <w:t xml:space="preserve"> </w:t>
            </w:r>
            <w:r w:rsidR="00170DDC">
              <w:rPr>
                <w:rFonts w:ascii="Calibri" w:hAnsi="Calibri" w:cs="Calibri" w:hint="eastAsia"/>
                <w:kern w:val="0"/>
                <w:lang w:eastAsia="ja-JP"/>
                <w14:ligatures w14:val="none"/>
              </w:rPr>
              <w:t xml:space="preserve">to </w:t>
            </w:r>
            <w:r w:rsidRPr="007E3E90">
              <w:rPr>
                <w:rFonts w:ascii="Calibri" w:eastAsia="Times New Roman" w:hAnsi="Calibri" w:cs="Calibri"/>
                <w:kern w:val="0"/>
                <w:lang w:eastAsia="en-GB"/>
                <w14:ligatures w14:val="none"/>
              </w:rPr>
              <w:t>as the most versatile and data-rich scenarios</w:t>
            </w:r>
            <w:r w:rsidR="0027697D">
              <w:rPr>
                <w:rFonts w:ascii="Calibri" w:hAnsi="Calibri" w:cs="Calibri" w:hint="eastAsia"/>
                <w:kern w:val="0"/>
                <w:lang w:eastAsia="ja-JP"/>
                <w14:ligatures w14:val="none"/>
              </w:rPr>
              <w:t xml:space="preserve"> </w:t>
            </w:r>
            <w:r w:rsidR="00170DDC">
              <w:rPr>
                <w:rFonts w:ascii="Calibri" w:hAnsi="Calibri" w:cs="Calibri" w:hint="eastAsia"/>
                <w:kern w:val="0"/>
                <w:lang w:eastAsia="ja-JP"/>
                <w14:ligatures w14:val="none"/>
              </w:rPr>
              <w:t xml:space="preserve">in the context of choosing a base </w:t>
            </w:r>
            <w:r w:rsidR="00170DDC">
              <w:rPr>
                <w:rFonts w:ascii="Calibri" w:hAnsi="Calibri" w:cs="Calibri"/>
                <w:kern w:val="0"/>
                <w:lang w:eastAsia="ja-JP"/>
                <w14:ligatures w14:val="none"/>
              </w:rPr>
              <w:t>scenario</w:t>
            </w:r>
            <w:r w:rsidR="00170DDC">
              <w:rPr>
                <w:rFonts w:ascii="Calibri" w:hAnsi="Calibri" w:cs="Calibri" w:hint="eastAsia"/>
                <w:kern w:val="0"/>
                <w:lang w:eastAsia="ja-JP"/>
                <w14:ligatures w14:val="none"/>
              </w:rPr>
              <w:t xml:space="preserve"> </w:t>
            </w:r>
            <w:r w:rsidR="0027697D">
              <w:rPr>
                <w:rFonts w:ascii="Calibri" w:hAnsi="Calibri" w:cs="Calibri" w:hint="eastAsia"/>
                <w:kern w:val="0"/>
                <w:lang w:eastAsia="ja-JP"/>
                <w14:ligatures w14:val="none"/>
              </w:rPr>
              <w:t>(page 22)</w:t>
            </w:r>
            <w:r w:rsidRPr="007E3E90">
              <w:rPr>
                <w:rFonts w:ascii="Calibri" w:eastAsia="Times New Roman" w:hAnsi="Calibri" w:cs="Calibri"/>
                <w:kern w:val="0"/>
                <w:lang w:eastAsia="en-GB"/>
                <w14:ligatures w14:val="none"/>
              </w:rPr>
              <w:t>.</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2975A3A9" w:rsidR="00BE1F9E" w:rsidRPr="0027697D" w:rsidRDefault="0027697D"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E2D965" w:rsidR="00BE1F9E" w:rsidRPr="00FA0036" w:rsidRDefault="0027697D" w:rsidP="00CF2E7C">
            <w:pPr>
              <w:textAlignment w:val="baseline"/>
              <w:rPr>
                <w:rFonts w:ascii="Calibri" w:hAnsi="Calibri" w:cs="Calibri"/>
                <w:kern w:val="0"/>
                <w:lang w:eastAsia="ja-JP"/>
                <w14:ligatures w14:val="none"/>
              </w:rPr>
            </w:pPr>
            <w:r w:rsidRPr="0027697D">
              <w:rPr>
                <w:rFonts w:ascii="Calibri" w:eastAsia="Times New Roman" w:hAnsi="Calibri" w:cs="Calibri"/>
                <w:kern w:val="0"/>
                <w:lang w:eastAsia="en-GB"/>
                <w14:ligatures w14:val="none"/>
              </w:rPr>
              <w:t xml:space="preserve">This guide </w:t>
            </w:r>
            <w:r w:rsidR="00170DDC">
              <w:rPr>
                <w:rFonts w:ascii="Calibri" w:hAnsi="Calibri" w:cs="Calibri" w:hint="eastAsia"/>
                <w:kern w:val="0"/>
                <w:lang w:eastAsia="ja-JP"/>
                <w14:ligatures w14:val="none"/>
              </w:rPr>
              <w:t xml:space="preserve">encourages the selection of multiple temperature scenarios, including a below 2 degrees Celsius. It also </w:t>
            </w:r>
            <w:r w:rsidRPr="0027697D">
              <w:rPr>
                <w:rFonts w:ascii="Calibri" w:eastAsia="Times New Roman" w:hAnsi="Calibri" w:cs="Calibri"/>
                <w:kern w:val="0"/>
                <w:lang w:eastAsia="en-GB"/>
                <w14:ligatures w14:val="none"/>
              </w:rPr>
              <w:t>states that it is important to select scenarios based on their characteristics and parameters, taking into account the</w:t>
            </w:r>
            <w:r w:rsidRPr="0027697D">
              <w:rPr>
                <w:rFonts w:eastAsia="Times New Roman" w:cstheme="minorHAnsi"/>
                <w:kern w:val="0"/>
                <w:lang w:eastAsia="en-GB"/>
                <w14:ligatures w14:val="none"/>
              </w:rPr>
              <w:t xml:space="preserve"> </w:t>
            </w:r>
            <w:r w:rsidRPr="0027697D">
              <w:rPr>
                <w:rFonts w:eastAsia="ＭＳ 明朝" w:cstheme="minorHAnsi"/>
                <w:kern w:val="0"/>
                <w:lang w:eastAsia="ja-JP"/>
                <w14:ligatures w14:val="none"/>
              </w:rPr>
              <w:t xml:space="preserve">business </w:t>
            </w:r>
            <w:r w:rsidRPr="0027697D">
              <w:rPr>
                <w:rFonts w:eastAsia="Times New Roman" w:cstheme="minorHAnsi"/>
                <w:kern w:val="0"/>
                <w:lang w:eastAsia="en-GB"/>
                <w14:ligatures w14:val="none"/>
              </w:rPr>
              <w:t>a</w:t>
            </w:r>
            <w:r w:rsidRPr="0027697D">
              <w:rPr>
                <w:rFonts w:ascii="Calibri" w:eastAsia="Times New Roman" w:hAnsi="Calibri" w:cs="Calibri"/>
                <w:kern w:val="0"/>
                <w:lang w:eastAsia="en-GB"/>
                <w14:ligatures w14:val="none"/>
              </w:rPr>
              <w:t>nd situation of the company, investor movements, and domestic and international policy trends.</w:t>
            </w:r>
            <w:r w:rsidR="00170DDC">
              <w:rPr>
                <w:rFonts w:ascii="Calibri" w:hAnsi="Calibri" w:cs="Calibri" w:hint="eastAsia"/>
                <w:kern w:val="0"/>
                <w:lang w:eastAsia="ja-JP"/>
                <w14:ligatures w14:val="none"/>
              </w:rPr>
              <w:t xml:space="preserve"> (page 22)</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21755BCE" w:rsidR="00DC31BF" w:rsidRPr="0027697D" w:rsidRDefault="0027697D"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2E4FA4C3" w:rsidR="0098226E" w:rsidRPr="0027697D" w:rsidRDefault="0027697D"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0A7FFC9B" w:rsidR="00F10A6E" w:rsidRPr="004A10F5" w:rsidRDefault="004A10F5"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6B0A7596" w:rsidR="00F10A6E" w:rsidRPr="004A10F5" w:rsidRDefault="004A10F5"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4F3CA016" w:rsidR="00F10A6E" w:rsidRPr="00CF2E7C" w:rsidRDefault="004A10F5" w:rsidP="00CF2E7C">
            <w:pPr>
              <w:textAlignment w:val="baseline"/>
              <w:rPr>
                <w:rFonts w:ascii="Calibri" w:eastAsia="Times New Roman" w:hAnsi="Calibri" w:cs="Calibri"/>
                <w:kern w:val="0"/>
                <w:lang w:eastAsia="ja-JP"/>
                <w14:ligatures w14:val="none"/>
              </w:rPr>
            </w:pPr>
            <w:r>
              <w:rPr>
                <w:rFonts w:ascii="Calibri" w:hAnsi="Calibri" w:cs="Calibri" w:hint="eastAsia"/>
                <w:kern w:val="0"/>
                <w:lang w:eastAsia="ja-JP"/>
                <w14:ligatures w14:val="none"/>
              </w:rPr>
              <w:t>For</w:t>
            </w:r>
            <w:r w:rsidRPr="004A10F5">
              <w:rPr>
                <w:rFonts w:ascii="Calibri" w:eastAsia="Times New Roman" w:hAnsi="Calibri" w:cs="Calibri"/>
                <w:kern w:val="0"/>
                <w:lang w:eastAsia="en-GB"/>
                <w14:ligatures w14:val="none"/>
              </w:rPr>
              <w:t xml:space="preserve"> setting the time frame, it is stated that the usefulness of scenario analysis should be considered from the perspectives of the period of the bank's business plan, the extent of </w:t>
            </w:r>
            <w:r>
              <w:rPr>
                <w:rFonts w:ascii="Calibri" w:hAnsi="Calibri" w:cs="Calibri" w:hint="eastAsia"/>
                <w:kern w:val="0"/>
                <w:lang w:eastAsia="ja-JP"/>
                <w14:ligatures w14:val="none"/>
              </w:rPr>
              <w:t xml:space="preserve">internal </w:t>
            </w:r>
            <w:r w:rsidRPr="004A10F5">
              <w:rPr>
                <w:rFonts w:ascii="Calibri" w:eastAsia="Times New Roman" w:hAnsi="Calibri" w:cs="Calibri"/>
                <w:kern w:val="0"/>
                <w:lang w:eastAsia="en-GB"/>
                <w14:ligatures w14:val="none"/>
              </w:rPr>
              <w:t>involvement, and the degree of impact of physical risks on the bank. Examples include “until 2030” and “until 2050.”</w:t>
            </w:r>
            <w:r w:rsidR="00DB33E2">
              <w:rPr>
                <w:rFonts w:ascii="Calibri" w:hAnsi="Calibri" w:cs="Calibri" w:hint="eastAsia"/>
                <w:kern w:val="0"/>
                <w:lang w:eastAsia="ja-JP"/>
                <w14:ligatures w14:val="none"/>
              </w:rPr>
              <w:t xml:space="preserve"> </w:t>
            </w:r>
            <w:r w:rsidR="00DB33E2" w:rsidRPr="00FA0036">
              <w:rPr>
                <w:rFonts w:eastAsia="ＭＳ 明朝" w:cstheme="minorHAnsi"/>
                <w:kern w:val="0"/>
                <w:lang w:eastAsia="ja-JP"/>
                <w14:ligatures w14:val="none"/>
              </w:rPr>
              <w:t>(page14)</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31B66B83" w:rsidR="00F26296" w:rsidRPr="004A10F5" w:rsidRDefault="004A10F5"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34573FDE" w:rsidR="00F26296" w:rsidRPr="00DB33E2" w:rsidRDefault="004A10F5" w:rsidP="00CF2E7C">
            <w:pPr>
              <w:textAlignment w:val="baseline"/>
              <w:rPr>
                <w:rFonts w:ascii="Calibri" w:hAnsi="Calibri" w:cs="Calibri"/>
                <w:kern w:val="0"/>
                <w:lang w:eastAsia="ja-JP"/>
                <w14:ligatures w14:val="none"/>
              </w:rPr>
            </w:pPr>
            <w:r w:rsidRPr="004A10F5">
              <w:rPr>
                <w:rFonts w:ascii="Calibri" w:eastAsia="Times New Roman" w:hAnsi="Calibri" w:cs="Calibri"/>
                <w:kern w:val="0"/>
                <w:lang w:eastAsia="en-GB"/>
                <w14:ligatures w14:val="none"/>
              </w:rPr>
              <w:t>This guide states that for high</w:t>
            </w:r>
            <w:r w:rsidR="00DB33E2">
              <w:rPr>
                <w:rFonts w:ascii="Calibri" w:hAnsi="Calibri" w:cs="Calibri" w:hint="eastAsia"/>
                <w:kern w:val="0"/>
                <w:lang w:eastAsia="ja-JP"/>
                <w14:ligatures w14:val="none"/>
              </w:rPr>
              <w:t>-</w:t>
            </w:r>
            <w:r w:rsidRPr="004A10F5">
              <w:rPr>
                <w:rFonts w:ascii="Calibri" w:eastAsia="Times New Roman" w:hAnsi="Calibri" w:cs="Calibri"/>
                <w:kern w:val="0"/>
                <w:lang w:eastAsia="en-GB"/>
                <w14:ligatures w14:val="none"/>
              </w:rPr>
              <w:t>risk sectors, it is necessary to request risk</w:t>
            </w:r>
            <w:r>
              <w:rPr>
                <w:rFonts w:ascii="Calibri" w:hAnsi="Calibri" w:cs="Calibri" w:hint="eastAsia"/>
                <w:kern w:val="0"/>
                <w:lang w:eastAsia="ja-JP"/>
                <w14:ligatures w14:val="none"/>
              </w:rPr>
              <w:t xml:space="preserve"> mitigation </w:t>
            </w:r>
            <w:r w:rsidRPr="004A10F5">
              <w:rPr>
                <w:rFonts w:ascii="Calibri" w:eastAsia="Times New Roman" w:hAnsi="Calibri" w:cs="Calibri"/>
                <w:kern w:val="0"/>
                <w:lang w:eastAsia="en-GB"/>
                <w14:ligatures w14:val="none"/>
              </w:rPr>
              <w:t>measures. Based on the results of qualitative and quantitative analyses, it is</w:t>
            </w:r>
            <w:r>
              <w:rPr>
                <w:rFonts w:ascii="Calibri" w:hAnsi="Calibri" w:cs="Calibri" w:hint="eastAsia"/>
                <w:kern w:val="0"/>
                <w:lang w:eastAsia="ja-JP"/>
                <w14:ligatures w14:val="none"/>
              </w:rPr>
              <w:t xml:space="preserve"> also pointed out that it is</w:t>
            </w:r>
            <w:r w:rsidRPr="004A10F5">
              <w:rPr>
                <w:rFonts w:ascii="Calibri" w:eastAsia="Times New Roman" w:hAnsi="Calibri" w:cs="Calibri"/>
                <w:kern w:val="0"/>
                <w:lang w:eastAsia="en-GB"/>
                <w14:ligatures w14:val="none"/>
              </w:rPr>
              <w:t xml:space="preserve"> important to evaluate whether the companies are implementing decarbonization measures appropriate for the sector. </w:t>
            </w:r>
            <w:r w:rsidR="00DB33E2">
              <w:rPr>
                <w:rFonts w:ascii="Calibri" w:hAnsi="Calibri" w:cs="Calibri" w:hint="eastAsia"/>
                <w:kern w:val="0"/>
                <w:lang w:eastAsia="ja-JP"/>
                <w14:ligatures w14:val="none"/>
              </w:rPr>
              <w:t>(page63)</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41969319" w:rsidR="00F26296" w:rsidRPr="001449AE" w:rsidRDefault="00F26296"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449AE">
              <w:rPr>
                <w:rFonts w:ascii="Calibri" w:hAnsi="Calibri" w:cs="Calibri" w:hint="eastAsia"/>
                <w:kern w:val="0"/>
                <w:lang w:eastAsia="ja-JP"/>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358DC928" w:rsidR="00F26296" w:rsidRPr="001449AE" w:rsidRDefault="00F26296"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449AE">
              <w:rPr>
                <w:rFonts w:ascii="Calibri" w:hAnsi="Calibri" w:cs="Calibri" w:hint="eastAsia"/>
                <w:kern w:val="0"/>
                <w:lang w:eastAsia="ja-JP"/>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lastRenderedPageBreak/>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1B6ADE1F" w:rsidR="00FE0EA5" w:rsidRPr="009C4D10" w:rsidRDefault="00FE0EA5" w:rsidP="00CF2E7C">
            <w:pPr>
              <w:rPr>
                <w:rFonts w:cstheme="minorHAnsi"/>
                <w:lang w:eastAsia="ja-JP"/>
              </w:rPr>
            </w:pPr>
            <w:r w:rsidRPr="009C4D10">
              <w:rPr>
                <w:rFonts w:cstheme="minorHAnsi"/>
                <w:lang w:val="en-SG"/>
              </w:rPr>
              <w:t> </w:t>
            </w:r>
            <w:r w:rsidRPr="009C4D10">
              <w:rPr>
                <w:rFonts w:cstheme="minorHAnsi"/>
              </w:rPr>
              <w:t> </w:t>
            </w:r>
            <w:r w:rsidR="001449AE">
              <w:rPr>
                <w:rFonts w:cstheme="minorHAnsi" w:hint="eastAsia"/>
                <w:lang w:eastAsia="ja-JP"/>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6DD815E3" w:rsidR="00FE0EA5" w:rsidRPr="009C4D10" w:rsidRDefault="00FE0EA5" w:rsidP="00CF2E7C">
            <w:pPr>
              <w:rPr>
                <w:rFonts w:cstheme="minorHAnsi"/>
                <w:lang w:eastAsia="ja-JP"/>
              </w:rPr>
            </w:pPr>
            <w:r w:rsidRPr="009C4D10">
              <w:rPr>
                <w:rFonts w:cstheme="minorHAnsi"/>
                <w:lang w:val="en-SG"/>
              </w:rPr>
              <w:t> </w:t>
            </w:r>
            <w:r w:rsidRPr="009C4D10">
              <w:rPr>
                <w:rFonts w:cstheme="minorHAnsi"/>
              </w:rPr>
              <w:t> </w:t>
            </w:r>
            <w:r w:rsidR="001449AE">
              <w:rPr>
                <w:rFonts w:cstheme="minorHAnsi" w:hint="eastAsia"/>
                <w:lang w:eastAsia="ja-JP"/>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18"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15CCA260" w:rsidR="00FE0EA5" w:rsidRPr="009C4D10" w:rsidRDefault="00FE0EA5" w:rsidP="00CF2E7C">
            <w:pPr>
              <w:rPr>
                <w:rFonts w:cstheme="minorHAnsi"/>
                <w:lang w:eastAsia="ja-JP"/>
              </w:rPr>
            </w:pPr>
            <w:r w:rsidRPr="009C4D10">
              <w:rPr>
                <w:rFonts w:cstheme="minorHAnsi"/>
                <w:lang w:val="en-SG"/>
              </w:rPr>
              <w:t> </w:t>
            </w:r>
            <w:r w:rsidRPr="009C4D10">
              <w:rPr>
                <w:rFonts w:cstheme="minorHAnsi"/>
              </w:rPr>
              <w:t> </w:t>
            </w:r>
            <w:r w:rsidR="001449AE">
              <w:rPr>
                <w:rFonts w:cstheme="minorHAnsi" w:hint="eastAsia"/>
                <w:lang w:eastAsia="ja-JP"/>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19"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667DE88E" w:rsidR="00FE0EA5" w:rsidRPr="009C4D10" w:rsidRDefault="00FE0EA5" w:rsidP="00CF2E7C">
            <w:pPr>
              <w:rPr>
                <w:rFonts w:cstheme="minorHAnsi"/>
                <w:lang w:eastAsia="ja-JP"/>
              </w:rPr>
            </w:pPr>
            <w:r w:rsidRPr="009C4D10">
              <w:rPr>
                <w:rFonts w:cstheme="minorHAnsi"/>
                <w:lang w:val="en-SG"/>
              </w:rPr>
              <w:t> </w:t>
            </w:r>
            <w:r w:rsidRPr="009C4D10">
              <w:rPr>
                <w:rFonts w:cstheme="minorHAnsi"/>
              </w:rPr>
              <w:t> </w:t>
            </w:r>
            <w:r w:rsidR="001449AE">
              <w:rPr>
                <w:rFonts w:cstheme="minorHAnsi" w:hint="eastAsia"/>
                <w:lang w:eastAsia="ja-JP"/>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074F8BD2" w:rsidR="00FE0EA5" w:rsidRPr="009C4D10" w:rsidRDefault="00FE0EA5" w:rsidP="00CF2E7C">
            <w:pPr>
              <w:rPr>
                <w:rFonts w:cstheme="minorHAnsi"/>
                <w:lang w:eastAsia="ja-JP"/>
              </w:rPr>
            </w:pPr>
            <w:r w:rsidRPr="009C4D10">
              <w:rPr>
                <w:rFonts w:cstheme="minorHAnsi"/>
                <w:lang w:val="en-SG"/>
              </w:rPr>
              <w:t> </w:t>
            </w:r>
            <w:r w:rsidRPr="009C4D10">
              <w:rPr>
                <w:rFonts w:cstheme="minorHAnsi"/>
              </w:rPr>
              <w:t> </w:t>
            </w:r>
            <w:r w:rsidR="001449AE">
              <w:rPr>
                <w:rFonts w:cstheme="minorHAnsi" w:hint="eastAsia"/>
                <w:lang w:eastAsia="ja-JP"/>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11B3B0E9" w:rsidR="00FE0EA5" w:rsidRPr="009C4D10" w:rsidRDefault="00FE0EA5" w:rsidP="00CF2E7C">
            <w:pPr>
              <w:rPr>
                <w:rFonts w:cstheme="minorHAnsi"/>
                <w:lang w:eastAsia="ja-JP"/>
              </w:rPr>
            </w:pPr>
            <w:r w:rsidRPr="009C4D10">
              <w:rPr>
                <w:rFonts w:cstheme="minorHAnsi"/>
              </w:rPr>
              <w:t>  </w:t>
            </w:r>
            <w:r w:rsidR="001449AE">
              <w:rPr>
                <w:rFonts w:cstheme="minorHAnsi" w:hint="eastAsia"/>
                <w:lang w:eastAsia="ja-JP"/>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3596A845" w:rsidR="00FE0EA5" w:rsidRPr="009C4D10" w:rsidRDefault="00FE0EA5" w:rsidP="00CF2E7C">
            <w:pPr>
              <w:rPr>
                <w:rFonts w:cstheme="minorHAnsi"/>
                <w:lang w:eastAsia="ja-JP"/>
              </w:rPr>
            </w:pPr>
            <w:r w:rsidRPr="009C4D10">
              <w:rPr>
                <w:rFonts w:cstheme="minorHAnsi"/>
                <w:lang w:val="en-SG"/>
              </w:rPr>
              <w:t> </w:t>
            </w:r>
            <w:r w:rsidRPr="009C4D10">
              <w:rPr>
                <w:rFonts w:cstheme="minorHAnsi"/>
              </w:rPr>
              <w:t> </w:t>
            </w:r>
            <w:r w:rsidR="001449AE">
              <w:rPr>
                <w:rFonts w:cstheme="minorHAnsi" w:hint="eastAsia"/>
                <w:lang w:eastAsia="ja-JP"/>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lastRenderedPageBreak/>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C70F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lastRenderedPageBreak/>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F1C5AC" w14:textId="77777777" w:rsidR="00107833" w:rsidRDefault="00107833" w:rsidP="00874E39">
      <w:r>
        <w:separator/>
      </w:r>
    </w:p>
  </w:endnote>
  <w:endnote w:type="continuationSeparator" w:id="0">
    <w:p w14:paraId="4E2DD4F6" w14:textId="77777777" w:rsidR="00107833" w:rsidRDefault="00107833" w:rsidP="00874E39">
      <w:r>
        <w:continuationSeparator/>
      </w:r>
    </w:p>
  </w:endnote>
  <w:endnote w:type="continuationNotice" w:id="1">
    <w:p w14:paraId="410FCEF4" w14:textId="77777777" w:rsidR="00107833" w:rsidRDefault="0010783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Mulish">
    <w:altName w:val="Calibri"/>
    <w:charset w:val="4D"/>
    <w:family w:val="auto"/>
    <w:pitch w:val="variable"/>
    <w:sig w:usb0="A00002FF" w:usb1="5000204B" w:usb2="00000000" w:usb3="00000000" w:csb0="00000197" w:csb1="00000000"/>
  </w:font>
  <w:font w:name="ＭＳ 明朝">
    <w:altName w:val="MS Mincho"/>
    <w:panose1 w:val="02020609040205080304"/>
    <w:charset w:val="80"/>
    <w:family w:val="roma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Content>
      <w:p w14:paraId="527773AC" w14:textId="740704FD" w:rsidR="00874E39" w:rsidRDefault="00874E39">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772E9E2F" w14:textId="77777777" w:rsidR="00874E39" w:rsidRDefault="00874E39"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3"/>
      <w:framePr w:h="878" w:hRule="exact" w:wrap="none" w:vAnchor="text" w:hAnchor="margin" w:xAlign="right" w:y="139"/>
      <w:jc w:val="right"/>
      <w:rPr>
        <w:rStyle w:val="af5"/>
        <w:color w:val="18223E"/>
        <w:sz w:val="20"/>
        <w:szCs w:val="20"/>
      </w:rPr>
    </w:pPr>
  </w:p>
  <w:p w14:paraId="5C880F20" w14:textId="6C4E7FD0" w:rsidR="00874E39" w:rsidRPr="00041BB2" w:rsidRDefault="006D5605"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Content>
        <w:r w:rsidR="00874E39" w:rsidRPr="00041BB2">
          <w:rPr>
            <w:rStyle w:val="af5"/>
            <w:b/>
            <w:bCs/>
            <w:color w:val="18233F"/>
            <w:sz w:val="20"/>
            <w:szCs w:val="20"/>
          </w:rPr>
          <w:fldChar w:fldCharType="begin"/>
        </w:r>
        <w:r w:rsidR="00874E39" w:rsidRPr="00041BB2">
          <w:rPr>
            <w:rStyle w:val="af5"/>
            <w:b/>
            <w:bCs/>
            <w:color w:val="18233F"/>
            <w:sz w:val="20"/>
            <w:szCs w:val="20"/>
          </w:rPr>
          <w:instrText xml:space="preserve"> PAGE </w:instrText>
        </w:r>
        <w:r w:rsidR="00874E39" w:rsidRPr="00041BB2">
          <w:rPr>
            <w:rStyle w:val="af5"/>
            <w:b/>
            <w:bCs/>
            <w:color w:val="18233F"/>
            <w:sz w:val="20"/>
            <w:szCs w:val="20"/>
          </w:rPr>
          <w:fldChar w:fldCharType="separate"/>
        </w:r>
        <w:r w:rsidR="00874E39" w:rsidRPr="00041BB2">
          <w:rPr>
            <w:rStyle w:val="af5"/>
            <w:b/>
            <w:bCs/>
            <w:color w:val="18233F"/>
            <w:sz w:val="20"/>
            <w:szCs w:val="20"/>
          </w:rPr>
          <w:t>18</w:t>
        </w:r>
        <w:r w:rsidR="00874E39" w:rsidRPr="00041BB2">
          <w:rPr>
            <w:rStyle w:val="af5"/>
            <w:b/>
            <w:bCs/>
            <w:color w:val="18233F"/>
            <w:sz w:val="20"/>
            <w:szCs w:val="20"/>
          </w:rPr>
          <w:fldChar w:fldCharType="end"/>
        </w:r>
      </w:sdtContent>
    </w:sdt>
  </w:p>
  <w:p w14:paraId="4CAE79EB" w14:textId="28D953BE" w:rsidR="00874E39" w:rsidRDefault="0043774D" w:rsidP="00874E39">
    <w:pPr>
      <w:pStyle w:val="af3"/>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3"/>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AB0462A" id="Group 3" o:spid="_x0000_s1026" style="position:absolute;left:0;text-align:left;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9D7B96" w14:textId="77777777" w:rsidR="00107833" w:rsidRDefault="00107833" w:rsidP="00874E39">
      <w:r>
        <w:separator/>
      </w:r>
    </w:p>
  </w:footnote>
  <w:footnote w:type="continuationSeparator" w:id="0">
    <w:p w14:paraId="2D732539" w14:textId="77777777" w:rsidR="00107833" w:rsidRDefault="00107833" w:rsidP="00874E39">
      <w:r>
        <w:continuationSeparator/>
      </w:r>
    </w:p>
  </w:footnote>
  <w:footnote w:type="continuationNotice" w:id="1">
    <w:p w14:paraId="699B02FF" w14:textId="77777777" w:rsidR="00107833" w:rsidRDefault="0010783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7"/>
            <w:ind w:left="-115"/>
          </w:pPr>
        </w:p>
      </w:tc>
      <w:tc>
        <w:tcPr>
          <w:tcW w:w="3485" w:type="dxa"/>
        </w:tcPr>
        <w:p w14:paraId="04884984" w14:textId="3A1DF521" w:rsidR="6D73AD7A" w:rsidRDefault="6D73AD7A" w:rsidP="6D73AD7A">
          <w:pPr>
            <w:pStyle w:val="af7"/>
            <w:jc w:val="center"/>
          </w:pPr>
        </w:p>
      </w:tc>
      <w:tc>
        <w:tcPr>
          <w:tcW w:w="3485" w:type="dxa"/>
        </w:tcPr>
        <w:p w14:paraId="461B504B" w14:textId="710878DC" w:rsidR="6D73AD7A" w:rsidRDefault="6D73AD7A" w:rsidP="6D73AD7A">
          <w:pPr>
            <w:pStyle w:val="af7"/>
            <w:ind w:right="-115"/>
            <w:jc w:val="right"/>
          </w:pPr>
        </w:p>
      </w:tc>
    </w:tr>
  </w:tbl>
  <w:p w14:paraId="4E3F7338" w14:textId="24652282" w:rsidR="00345B1A" w:rsidRDefault="00345B1A">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7"/>
            <w:ind w:left="-115"/>
          </w:pPr>
        </w:p>
      </w:tc>
      <w:tc>
        <w:tcPr>
          <w:tcW w:w="3485" w:type="dxa"/>
        </w:tcPr>
        <w:p w14:paraId="1A6A8504" w14:textId="77777777" w:rsidR="00AA4965" w:rsidRDefault="00AA4965" w:rsidP="6D73AD7A">
          <w:pPr>
            <w:pStyle w:val="af7"/>
            <w:jc w:val="center"/>
          </w:pPr>
        </w:p>
      </w:tc>
      <w:tc>
        <w:tcPr>
          <w:tcW w:w="3485" w:type="dxa"/>
        </w:tcPr>
        <w:p w14:paraId="037D9CBC" w14:textId="77777777" w:rsidR="00AA4965" w:rsidRDefault="00AA4965" w:rsidP="6D73AD7A">
          <w:pPr>
            <w:pStyle w:val="af7"/>
            <w:ind w:right="-115"/>
            <w:jc w:val="right"/>
          </w:pPr>
        </w:p>
      </w:tc>
    </w:tr>
  </w:tbl>
  <w:p w14:paraId="6739A47D"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33"/>
    <w:rsid w:val="001078E1"/>
    <w:rsid w:val="00107CE2"/>
    <w:rsid w:val="00107D91"/>
    <w:rsid w:val="001126A8"/>
    <w:rsid w:val="00112815"/>
    <w:rsid w:val="00112A2C"/>
    <w:rsid w:val="00112A6B"/>
    <w:rsid w:val="00113043"/>
    <w:rsid w:val="0011467E"/>
    <w:rsid w:val="001152B8"/>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49AE"/>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0DDC"/>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333"/>
    <w:rsid w:val="00264CBC"/>
    <w:rsid w:val="0026588F"/>
    <w:rsid w:val="0026642F"/>
    <w:rsid w:val="002679A5"/>
    <w:rsid w:val="0027067C"/>
    <w:rsid w:val="00270A4D"/>
    <w:rsid w:val="00272D9A"/>
    <w:rsid w:val="002737EF"/>
    <w:rsid w:val="00274335"/>
    <w:rsid w:val="00274864"/>
    <w:rsid w:val="00274B22"/>
    <w:rsid w:val="0027697D"/>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50B"/>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5564"/>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0D2C"/>
    <w:rsid w:val="00483B35"/>
    <w:rsid w:val="00483D65"/>
    <w:rsid w:val="00484663"/>
    <w:rsid w:val="00485B85"/>
    <w:rsid w:val="00486758"/>
    <w:rsid w:val="00486B53"/>
    <w:rsid w:val="00486C77"/>
    <w:rsid w:val="00487AFB"/>
    <w:rsid w:val="00490235"/>
    <w:rsid w:val="00490AF7"/>
    <w:rsid w:val="0049168C"/>
    <w:rsid w:val="00493986"/>
    <w:rsid w:val="00493E0A"/>
    <w:rsid w:val="00494A74"/>
    <w:rsid w:val="00494B67"/>
    <w:rsid w:val="00496413"/>
    <w:rsid w:val="004A06B9"/>
    <w:rsid w:val="004A10F5"/>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4C5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47DD"/>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3B69"/>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19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3E90"/>
    <w:rsid w:val="007E41AF"/>
    <w:rsid w:val="007E527E"/>
    <w:rsid w:val="007E531B"/>
    <w:rsid w:val="007E5B48"/>
    <w:rsid w:val="007E6FBE"/>
    <w:rsid w:val="007E7A25"/>
    <w:rsid w:val="007F0C64"/>
    <w:rsid w:val="007F1507"/>
    <w:rsid w:val="007F1D3A"/>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7366"/>
    <w:rsid w:val="008B0F60"/>
    <w:rsid w:val="008B0F8A"/>
    <w:rsid w:val="008B2418"/>
    <w:rsid w:val="008B4536"/>
    <w:rsid w:val="008B4F7B"/>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132"/>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D91"/>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CB7"/>
    <w:rsid w:val="00A93112"/>
    <w:rsid w:val="00A932DE"/>
    <w:rsid w:val="00A9656E"/>
    <w:rsid w:val="00AA186B"/>
    <w:rsid w:val="00AA38F6"/>
    <w:rsid w:val="00AA4965"/>
    <w:rsid w:val="00AA6DDB"/>
    <w:rsid w:val="00AB0830"/>
    <w:rsid w:val="00AB2CCC"/>
    <w:rsid w:val="00AB4F2C"/>
    <w:rsid w:val="00AB64F8"/>
    <w:rsid w:val="00AC42FC"/>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B18"/>
    <w:rsid w:val="00AE7C5F"/>
    <w:rsid w:val="00AF08A8"/>
    <w:rsid w:val="00AF2019"/>
    <w:rsid w:val="00AF26B7"/>
    <w:rsid w:val="00AF30FD"/>
    <w:rsid w:val="00AF3905"/>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67C5"/>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394"/>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0CB"/>
    <w:rsid w:val="00C95D67"/>
    <w:rsid w:val="00C97222"/>
    <w:rsid w:val="00CA0DAE"/>
    <w:rsid w:val="00CA0E49"/>
    <w:rsid w:val="00CA1535"/>
    <w:rsid w:val="00CA5087"/>
    <w:rsid w:val="00CA58EE"/>
    <w:rsid w:val="00CA7EEF"/>
    <w:rsid w:val="00CB1649"/>
    <w:rsid w:val="00CB179D"/>
    <w:rsid w:val="00CB3E5E"/>
    <w:rsid w:val="00CB4EBD"/>
    <w:rsid w:val="00CB6338"/>
    <w:rsid w:val="00CB6C20"/>
    <w:rsid w:val="00CB76AA"/>
    <w:rsid w:val="00CB790E"/>
    <w:rsid w:val="00CC1407"/>
    <w:rsid w:val="00CC450D"/>
    <w:rsid w:val="00CC4FFC"/>
    <w:rsid w:val="00CC5328"/>
    <w:rsid w:val="00CC70FA"/>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04B"/>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254B"/>
    <w:rsid w:val="00DA3B49"/>
    <w:rsid w:val="00DA416F"/>
    <w:rsid w:val="00DA420C"/>
    <w:rsid w:val="00DA63F5"/>
    <w:rsid w:val="00DA6F09"/>
    <w:rsid w:val="00DA7A9F"/>
    <w:rsid w:val="00DB02EB"/>
    <w:rsid w:val="00DB1960"/>
    <w:rsid w:val="00DB1E72"/>
    <w:rsid w:val="00DB2C4B"/>
    <w:rsid w:val="00DB2CAA"/>
    <w:rsid w:val="00DB33E2"/>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0942"/>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40F"/>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844"/>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35C5"/>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2C4F"/>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036"/>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2C9"/>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21014100354/https://www.env.go.jp/content/900518880.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188</TotalTime>
  <Pages>1</Pages>
  <Words>22294</Words>
  <Characters>127082</Characters>
  <Application>Microsoft Office Word</Application>
  <DocSecurity>0</DocSecurity>
  <Lines>1059</Lines>
  <Paragraphs>298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149078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cp:lastModifiedBy>
  <cp:revision>11</cp:revision>
  <cp:lastPrinted>2025-03-21T00:14:00Z</cp:lastPrinted>
  <dcterms:created xsi:type="dcterms:W3CDTF">2025-07-15T16:51:00Z</dcterms:created>
  <dcterms:modified xsi:type="dcterms:W3CDTF">2025-08-06T09:18:00Z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ndDocumentId">
    <vt:lpwstr>3472-8045-5483</vt:lpwstr>
  </property>
</Properties>
</file>